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28631A" w:rsidRDefault="00AE03C8">
      <w:pPr>
        <w:pStyle w:val="Titre2"/>
        <w:keepNext w:val="0"/>
        <w:keepLines w:val="0"/>
        <w:spacing w:after="80"/>
        <w:rPr>
          <w:b/>
          <w:sz w:val="34"/>
          <w:szCs w:val="34"/>
        </w:rPr>
      </w:pPr>
      <w:bookmarkStart w:id="0" w:name="_nrm5jibsj809" w:colFirst="0" w:colLast="0"/>
      <w:bookmarkEnd w:id="0"/>
      <w:r>
        <w:rPr>
          <w:b/>
          <w:sz w:val="34"/>
          <w:szCs w:val="34"/>
        </w:rPr>
        <w:t>Note de synthèse</w:t>
      </w:r>
    </w:p>
    <w:p w14:paraId="00000002" w14:textId="77777777" w:rsidR="0028631A" w:rsidRDefault="00AE03C8">
      <w:pPr>
        <w:pStyle w:val="Titre3"/>
        <w:keepNext w:val="0"/>
        <w:keepLines w:val="0"/>
        <w:spacing w:before="280"/>
        <w:rPr>
          <w:b/>
          <w:color w:val="000000"/>
          <w:sz w:val="26"/>
          <w:szCs w:val="26"/>
        </w:rPr>
      </w:pPr>
      <w:bookmarkStart w:id="1" w:name="_7ica6hq0r7go" w:colFirst="0" w:colLast="0"/>
      <w:bookmarkEnd w:id="1"/>
      <w:r>
        <w:rPr>
          <w:b/>
          <w:color w:val="000000"/>
          <w:sz w:val="26"/>
          <w:szCs w:val="26"/>
        </w:rPr>
        <w:t>Introduction</w:t>
      </w:r>
    </w:p>
    <w:p w14:paraId="00000003" w14:textId="77777777" w:rsidR="0028631A" w:rsidRDefault="00AE03C8">
      <w:pPr>
        <w:spacing w:before="240" w:after="240"/>
      </w:pPr>
      <w:r>
        <w:t xml:space="preserve">Cet entretien, mené par </w:t>
      </w:r>
      <w:r>
        <w:rPr>
          <w:i/>
        </w:rPr>
        <w:t>TH</w:t>
      </w:r>
      <w:r>
        <w:t xml:space="preserve"> auprès d’un collaborateur d’Orange (ci-après l</w:t>
      </w:r>
      <w:proofErr w:type="gramStart"/>
      <w:r>
        <w:t>’«</w:t>
      </w:r>
      <w:proofErr w:type="gramEnd"/>
      <w:r>
        <w:t xml:space="preserve"> interviewé »), éclaire les dynamiques professionnelles, techniques et relationnelles au sein d’une entreprise historiquement ancrée dans la recherche et l’innovation en télécommunications. Au fil du dialogue, se dévoilent le parcours de l’interviewé, l’évolution des compétences requises et la façon dont s’opère la transmission intergénérationnelle. On constate également l’importance de la culture d’entreprise, notamment dans la gestion des carrières et les i</w:t>
      </w:r>
      <w:r>
        <w:t>nteractions au quotidien.</w:t>
      </w:r>
    </w:p>
    <w:p w14:paraId="00000004" w14:textId="77777777" w:rsidR="0028631A" w:rsidRDefault="00AE03C8">
      <w:pPr>
        <w:spacing w:before="240" w:after="240"/>
      </w:pPr>
      <w:r>
        <w:t>Dans cette note, je commenterai et analyserai les propos recueillis, en mobilisant des citations caractéristiques de l’entretien, afin d’en faire ressortir les principaux enseignements.</w:t>
      </w:r>
    </w:p>
    <w:p w14:paraId="00000005" w14:textId="77777777" w:rsidR="0028631A" w:rsidRDefault="00AE03C8">
      <w:r>
        <w:pict w14:anchorId="54E2E795">
          <v:rect id="_x0000_i1025" style="width:0;height:1.5pt" o:hralign="center" o:hrstd="t" o:hr="t" fillcolor="#a0a0a0" stroked="f"/>
        </w:pict>
      </w:r>
    </w:p>
    <w:p w14:paraId="00000006" w14:textId="77777777" w:rsidR="0028631A" w:rsidRDefault="00AE03C8">
      <w:pPr>
        <w:pStyle w:val="Titre3"/>
        <w:keepNext w:val="0"/>
        <w:keepLines w:val="0"/>
        <w:spacing w:before="280"/>
        <w:rPr>
          <w:b/>
          <w:color w:val="000000"/>
          <w:sz w:val="26"/>
          <w:szCs w:val="26"/>
        </w:rPr>
      </w:pPr>
      <w:bookmarkStart w:id="2" w:name="_vhhzfwleqjgy" w:colFirst="0" w:colLast="0"/>
      <w:bookmarkEnd w:id="2"/>
      <w:r>
        <w:rPr>
          <w:b/>
          <w:color w:val="000000"/>
          <w:sz w:val="26"/>
          <w:szCs w:val="26"/>
        </w:rPr>
        <w:t>1. Un parcours professionnel inscrit dans l’histoire des télécommunications</w:t>
      </w:r>
    </w:p>
    <w:p w14:paraId="00000007" w14:textId="77777777" w:rsidR="0028631A" w:rsidRDefault="00AE03C8">
      <w:pPr>
        <w:spacing w:before="240" w:after="240"/>
      </w:pPr>
      <w:r>
        <w:rPr>
          <w:b/>
        </w:rPr>
        <w:t>Un début de carrière dans une startup</w:t>
      </w:r>
      <w:r>
        <w:rPr>
          <w:b/>
        </w:rPr>
        <w:br/>
      </w:r>
      <w:r>
        <w:t xml:space="preserve">L’interviewé débute en 1993, à 25 ans, dans une startup nommée </w:t>
      </w:r>
      <w:r>
        <w:rPr>
          <w:i/>
        </w:rPr>
        <w:t>Expert Data</w:t>
      </w:r>
      <w:r>
        <w:t>, spécialisée dans la conception et la fabrication de routeurs. Il souligne :</w:t>
      </w:r>
    </w:p>
    <w:p w14:paraId="00000008" w14:textId="77777777" w:rsidR="0028631A" w:rsidRDefault="00AE03C8">
      <w:pPr>
        <w:spacing w:before="240" w:after="240"/>
        <w:ind w:left="600" w:right="600"/>
      </w:pPr>
      <w:r>
        <w:t xml:space="preserve">« </w:t>
      </w:r>
      <w:r>
        <w:rPr>
          <w:i/>
        </w:rPr>
        <w:t>C’était la conception, la fabrication de routeurs [...] qui travaillait beaucoup avec France Télécom et le CNET.</w:t>
      </w:r>
      <w:r>
        <w:t xml:space="preserve"> »</w:t>
      </w:r>
    </w:p>
    <w:p w14:paraId="00000009" w14:textId="77777777" w:rsidR="0028631A" w:rsidRDefault="00AE03C8">
      <w:pPr>
        <w:spacing w:before="240" w:after="240"/>
      </w:pPr>
      <w:r>
        <w:t>Cette première expérience met en évidence le lien étroit entre les startups technologiques et l’ancien CNET (Centre National d’Études des Télécommunications), permettant un pont entre l’innovation privée et la recherche publique/industrielle.</w:t>
      </w:r>
    </w:p>
    <w:p w14:paraId="0000000A" w14:textId="77777777" w:rsidR="0028631A" w:rsidRDefault="00AE03C8">
      <w:pPr>
        <w:spacing w:before="240" w:after="240"/>
      </w:pPr>
      <w:r>
        <w:rPr>
          <w:b/>
        </w:rPr>
        <w:t>L’entrée au CNET et le tournant ATM</w:t>
      </w:r>
      <w:r>
        <w:rPr>
          <w:b/>
        </w:rPr>
        <w:br/>
      </w:r>
      <w:r>
        <w:t>En 1995, l’interviewé rejoint officiellement France Télécom (via le CNET) pour travailler sur la technologie ATM :</w:t>
      </w:r>
    </w:p>
    <w:p w14:paraId="0000000B" w14:textId="77777777" w:rsidR="0028631A" w:rsidRDefault="00AE03C8">
      <w:pPr>
        <w:spacing w:before="240" w:after="240"/>
        <w:ind w:left="600" w:right="600"/>
      </w:pPr>
      <w:r>
        <w:t xml:space="preserve">« </w:t>
      </w:r>
      <w:r>
        <w:rPr>
          <w:i/>
        </w:rPr>
        <w:t xml:space="preserve">L’ATM, c’est </w:t>
      </w:r>
      <w:proofErr w:type="spellStart"/>
      <w:r>
        <w:rPr>
          <w:i/>
        </w:rPr>
        <w:t>Asynchronous</w:t>
      </w:r>
      <w:proofErr w:type="spellEnd"/>
      <w:r>
        <w:rPr>
          <w:i/>
        </w:rPr>
        <w:t xml:space="preserve"> Transfer Mode, une couche réseau </w:t>
      </w:r>
      <w:proofErr w:type="gramStart"/>
      <w:r>
        <w:rPr>
          <w:i/>
        </w:rPr>
        <w:t>multiservices</w:t>
      </w:r>
      <w:proofErr w:type="gramEnd"/>
      <w:r>
        <w:rPr>
          <w:i/>
        </w:rPr>
        <w:t>… On pouvait faire à la fois la voix, l’audiovisuel et la data.</w:t>
      </w:r>
      <w:r>
        <w:t xml:space="preserve"> »</w:t>
      </w:r>
    </w:p>
    <w:p w14:paraId="0000000C" w14:textId="77777777" w:rsidR="0028631A" w:rsidRDefault="00AE03C8">
      <w:pPr>
        <w:spacing w:before="240" w:after="240"/>
      </w:pPr>
      <w:r>
        <w:t>Cette période illustre l’importance de la recherche télécom en interne, où l’on produisait des « fiches d’études » validant la feuille de route technologique. On remarque déjà un fonctionnement de type R&amp;D pointu, ancré dans des dynamiques d’innovation.</w:t>
      </w:r>
    </w:p>
    <w:p w14:paraId="0000000D" w14:textId="77777777" w:rsidR="0028631A" w:rsidRDefault="00AE03C8">
      <w:r>
        <w:pict w14:anchorId="7FFA637B">
          <v:rect id="_x0000_i1026" style="width:0;height:1.5pt" o:hralign="center" o:hrstd="t" o:hr="t" fillcolor="#a0a0a0" stroked="f"/>
        </w:pict>
      </w:r>
    </w:p>
    <w:p w14:paraId="0000000E" w14:textId="77777777" w:rsidR="0028631A" w:rsidRDefault="0028631A">
      <w:pPr>
        <w:pStyle w:val="Titre3"/>
        <w:keepNext w:val="0"/>
        <w:keepLines w:val="0"/>
        <w:spacing w:before="280"/>
        <w:rPr>
          <w:b/>
          <w:color w:val="000000"/>
          <w:sz w:val="26"/>
          <w:szCs w:val="26"/>
        </w:rPr>
      </w:pPr>
      <w:bookmarkStart w:id="3" w:name="_7mrtbak5bnz0" w:colFirst="0" w:colLast="0"/>
      <w:bookmarkEnd w:id="3"/>
    </w:p>
    <w:p w14:paraId="0000000F" w14:textId="77777777" w:rsidR="0028631A" w:rsidRDefault="0028631A">
      <w:pPr>
        <w:pStyle w:val="Titre3"/>
        <w:keepNext w:val="0"/>
        <w:keepLines w:val="0"/>
        <w:spacing w:before="280"/>
        <w:rPr>
          <w:b/>
          <w:color w:val="000000"/>
          <w:sz w:val="26"/>
          <w:szCs w:val="26"/>
        </w:rPr>
      </w:pPr>
      <w:bookmarkStart w:id="4" w:name="_7jmxt43zsovk" w:colFirst="0" w:colLast="0"/>
      <w:bookmarkEnd w:id="4"/>
    </w:p>
    <w:p w14:paraId="00000010" w14:textId="77777777" w:rsidR="0028631A" w:rsidRDefault="00AE03C8">
      <w:pPr>
        <w:pStyle w:val="Titre3"/>
        <w:keepNext w:val="0"/>
        <w:keepLines w:val="0"/>
        <w:spacing w:before="280"/>
        <w:rPr>
          <w:b/>
          <w:color w:val="000000"/>
          <w:sz w:val="26"/>
          <w:szCs w:val="26"/>
        </w:rPr>
      </w:pPr>
      <w:bookmarkStart w:id="5" w:name="_xcx0h5tp3dti" w:colFirst="0" w:colLast="0"/>
      <w:bookmarkEnd w:id="5"/>
      <w:r>
        <w:rPr>
          <w:b/>
          <w:color w:val="000000"/>
          <w:sz w:val="26"/>
          <w:szCs w:val="26"/>
        </w:rPr>
        <w:t xml:space="preserve">2. Évolution des besoins et des pratiques : de la fabrication au </w:t>
      </w:r>
      <w:proofErr w:type="spellStart"/>
      <w:r>
        <w:rPr>
          <w:b/>
          <w:color w:val="000000"/>
          <w:sz w:val="26"/>
          <w:szCs w:val="26"/>
        </w:rPr>
        <w:t>sourcing</w:t>
      </w:r>
      <w:proofErr w:type="spellEnd"/>
    </w:p>
    <w:p w14:paraId="00000011" w14:textId="77777777" w:rsidR="0028631A" w:rsidRDefault="00AE03C8">
      <w:pPr>
        <w:spacing w:before="240" w:after="240"/>
      </w:pPr>
      <w:r>
        <w:rPr>
          <w:b/>
        </w:rPr>
        <w:t>Du « faire soi-même » à l’achat sur étagère</w:t>
      </w:r>
      <w:r>
        <w:rPr>
          <w:b/>
        </w:rPr>
        <w:br/>
      </w:r>
      <w:r>
        <w:t>Avec le temps, l’interviewé constate une évolution majeure : l’entreprise passe d’une logique de développement en interne à l’acquisition de solutions sur le marché. Il explique :</w:t>
      </w:r>
    </w:p>
    <w:p w14:paraId="00000012" w14:textId="77777777" w:rsidR="0028631A" w:rsidRDefault="00AE03C8">
      <w:pPr>
        <w:spacing w:before="240" w:after="240"/>
        <w:ind w:left="600" w:right="600"/>
      </w:pPr>
      <w:r>
        <w:t xml:space="preserve">« </w:t>
      </w:r>
      <w:r>
        <w:rPr>
          <w:i/>
        </w:rPr>
        <w:t>… la tendance était plutôt d’acheter sur étagère… On ne faisait plus nous-même les équipements…</w:t>
      </w:r>
      <w:r>
        <w:t xml:space="preserve"> »</w:t>
      </w:r>
    </w:p>
    <w:p w14:paraId="00000013" w14:textId="77777777" w:rsidR="0028631A" w:rsidRDefault="00AE03C8">
      <w:pPr>
        <w:spacing w:before="240" w:after="240"/>
      </w:pPr>
      <w:r>
        <w:t>Ce basculement illustre le repositionnement stratégique : de constructeur, le CNET/Orange devient davantage intégrateur, validant des routeurs IP ou d’autres matériels acquis auprès de fournisseurs externes.</w:t>
      </w:r>
    </w:p>
    <w:p w14:paraId="00000014" w14:textId="77777777" w:rsidR="0028631A" w:rsidRDefault="00AE03C8">
      <w:pPr>
        <w:spacing w:before="240" w:after="240"/>
      </w:pPr>
      <w:r>
        <w:rPr>
          <w:b/>
        </w:rPr>
        <w:t>La remise à la programmation</w:t>
      </w:r>
      <w:r>
        <w:rPr>
          <w:b/>
        </w:rPr>
        <w:br/>
      </w:r>
      <w:r>
        <w:t>Plus récemment, l’interviewé se « remet à la programmation », alors qu’il avait arrêté quelques années après son embauche :</w:t>
      </w:r>
    </w:p>
    <w:p w14:paraId="00000015" w14:textId="77777777" w:rsidR="0028631A" w:rsidRDefault="00AE03C8">
      <w:pPr>
        <w:spacing w:before="240" w:after="240"/>
        <w:ind w:left="600" w:right="600"/>
      </w:pPr>
      <w:r>
        <w:t xml:space="preserve">« </w:t>
      </w:r>
      <w:r>
        <w:rPr>
          <w:i/>
        </w:rPr>
        <w:t>C’était une satisfaction, ce retour aux sources... j’ai quand même des réflexes de quelqu’un qui a codé autrefois.</w:t>
      </w:r>
      <w:r>
        <w:t xml:space="preserve"> »</w:t>
      </w:r>
    </w:p>
    <w:p w14:paraId="00000016" w14:textId="77777777" w:rsidR="0028631A" w:rsidRDefault="00AE03C8">
      <w:pPr>
        <w:spacing w:before="240" w:after="240"/>
      </w:pPr>
      <w:r>
        <w:t>Ce témoignage révèle que, malgré la politique d’externalisation, les besoins internes en développement logiciel réapparaissent, notamment face aux nouveaux enjeux de virtualisation et d’automatisation.</w:t>
      </w:r>
    </w:p>
    <w:p w14:paraId="00000017" w14:textId="77777777" w:rsidR="0028631A" w:rsidRDefault="00AE03C8">
      <w:r>
        <w:pict w14:anchorId="55F570CB">
          <v:rect id="_x0000_i1027" style="width:0;height:1.5pt" o:hralign="center" o:hrstd="t" o:hr="t" fillcolor="#a0a0a0" stroked="f"/>
        </w:pict>
      </w:r>
    </w:p>
    <w:p w14:paraId="00000018" w14:textId="77777777" w:rsidR="0028631A" w:rsidRDefault="00AE03C8">
      <w:pPr>
        <w:pStyle w:val="Titre3"/>
        <w:keepNext w:val="0"/>
        <w:keepLines w:val="0"/>
        <w:spacing w:before="280"/>
        <w:rPr>
          <w:b/>
          <w:color w:val="000000"/>
          <w:sz w:val="26"/>
          <w:szCs w:val="26"/>
        </w:rPr>
      </w:pPr>
      <w:bookmarkStart w:id="6" w:name="_uba7zirc5tww" w:colFirst="0" w:colLast="0"/>
      <w:bookmarkEnd w:id="6"/>
      <w:r>
        <w:rPr>
          <w:b/>
          <w:color w:val="000000"/>
          <w:sz w:val="26"/>
          <w:szCs w:val="26"/>
        </w:rPr>
        <w:t>3. Ambiances de travail et dynamiques intergénérationnelles</w:t>
      </w:r>
    </w:p>
    <w:p w14:paraId="00000019" w14:textId="77777777" w:rsidR="0028631A" w:rsidRDefault="00AE03C8">
      <w:pPr>
        <w:spacing w:before="240" w:after="240"/>
      </w:pPr>
      <w:r>
        <w:rPr>
          <w:b/>
        </w:rPr>
        <w:t>Une bonne entente générale…</w:t>
      </w:r>
      <w:r>
        <w:rPr>
          <w:b/>
        </w:rPr>
        <w:br/>
      </w:r>
      <w:r>
        <w:t>L’interviewé décrit une atmosphère positive, y compris l’accueil de jeunes stagiaires ou apprentis :</w:t>
      </w:r>
    </w:p>
    <w:p w14:paraId="0000001A" w14:textId="77777777" w:rsidR="0028631A" w:rsidRDefault="00AE03C8">
      <w:pPr>
        <w:spacing w:before="240" w:after="240"/>
        <w:ind w:left="600" w:right="600"/>
      </w:pPr>
      <w:r>
        <w:t xml:space="preserve">« </w:t>
      </w:r>
      <w:r>
        <w:rPr>
          <w:i/>
        </w:rPr>
        <w:t>L’ambiance est plutôt bonne… Les gens sont contents d’avoir des jeunes, un souffle nouveau.</w:t>
      </w:r>
      <w:r>
        <w:t xml:space="preserve"> »</w:t>
      </w:r>
    </w:p>
    <w:p w14:paraId="0000001B" w14:textId="77777777" w:rsidR="0028631A" w:rsidRDefault="00AE03C8">
      <w:pPr>
        <w:spacing w:before="240" w:after="240"/>
      </w:pPr>
      <w:r>
        <w:t>Historiquement, les équipes apprécient la venue de nouveaux collaborateurs, ce qui favorise la transmission des savoirs.</w:t>
      </w:r>
    </w:p>
    <w:p w14:paraId="0000001C" w14:textId="77777777" w:rsidR="0028631A" w:rsidRDefault="00AE03C8">
      <w:pPr>
        <w:spacing w:before="240" w:after="240"/>
      </w:pPr>
      <w:r>
        <w:rPr>
          <w:b/>
        </w:rPr>
        <w:t>… Mais un site vieillissant et la « fuite des jeunes »</w:t>
      </w:r>
      <w:r>
        <w:rPr>
          <w:b/>
        </w:rPr>
        <w:br/>
      </w:r>
      <w:r>
        <w:t>Malgré cette ouverture, l’interviewé relève une difficulté :</w:t>
      </w:r>
    </w:p>
    <w:p w14:paraId="0000001D" w14:textId="77777777" w:rsidR="0028631A" w:rsidRDefault="00AE03C8">
      <w:pPr>
        <w:spacing w:before="240" w:after="240"/>
        <w:ind w:left="600" w:right="600"/>
      </w:pPr>
      <w:r>
        <w:t xml:space="preserve">« </w:t>
      </w:r>
      <w:r>
        <w:rPr>
          <w:i/>
        </w:rPr>
        <w:t>On fait venir des jeunes mais on n’a plus les postes pour embaucher…</w:t>
      </w:r>
      <w:r>
        <w:t xml:space="preserve"> »</w:t>
      </w:r>
    </w:p>
    <w:p w14:paraId="0000001E" w14:textId="77777777" w:rsidR="0028631A" w:rsidRDefault="00AE03C8">
      <w:pPr>
        <w:spacing w:before="240" w:after="240"/>
      </w:pPr>
      <w:r>
        <w:t xml:space="preserve">Cette situation cause un turnover rapide : plusieurs jeunes collaborateurs ou stagiaires partent au bout de deux ou trois ans pour rejoindre de plus grandes villes (Rennes, Paris). De plus, la pyramide des âges sur le site de Lannion tend à créer des déséquilibres où les </w:t>
      </w:r>
      <w:r>
        <w:lastRenderedPageBreak/>
        <w:t xml:space="preserve">seniors sont majoritaires. On parle même de surnoms comme </w:t>
      </w:r>
      <w:r>
        <w:rPr>
          <w:i/>
        </w:rPr>
        <w:t xml:space="preserve">« </w:t>
      </w:r>
      <w:proofErr w:type="spellStart"/>
      <w:r>
        <w:rPr>
          <w:i/>
        </w:rPr>
        <w:t>Papyland</w:t>
      </w:r>
      <w:proofErr w:type="spellEnd"/>
      <w:r>
        <w:rPr>
          <w:i/>
        </w:rPr>
        <w:t xml:space="preserve"> »</w:t>
      </w:r>
      <w:r>
        <w:t xml:space="preserve"> pour désigner le site, ce qui souligne les stéréotypes liés à l’âge et à la localisation géographique.</w:t>
      </w:r>
    </w:p>
    <w:p w14:paraId="0000001F" w14:textId="77777777" w:rsidR="0028631A" w:rsidRDefault="00AE03C8">
      <w:pPr>
        <w:spacing w:before="240" w:after="240"/>
      </w:pPr>
      <w:r>
        <w:rPr>
          <w:b/>
        </w:rPr>
        <w:t>Des malentendus culturels ponctuels</w:t>
      </w:r>
      <w:r>
        <w:rPr>
          <w:b/>
        </w:rPr>
        <w:br/>
      </w:r>
      <w:r>
        <w:t>Un exemple marquant est mentionné à la fin de l’entretien : un manager d’origine africaine utilise le mot « doyenne » pour décrire une collaboratrice plus âgée, ce qui a provoqué un malaise chez elle :</w:t>
      </w:r>
    </w:p>
    <w:p w14:paraId="00000020" w14:textId="77777777" w:rsidR="0028631A" w:rsidRDefault="00AE03C8">
      <w:pPr>
        <w:spacing w:before="240" w:after="240"/>
        <w:ind w:left="600" w:right="600"/>
      </w:pPr>
      <w:r>
        <w:t xml:space="preserve">« </w:t>
      </w:r>
      <w:r>
        <w:rPr>
          <w:i/>
        </w:rPr>
        <w:t>… pour lui, le terme doyen était positif et respectueux, alors qu’elle l’a pris comme si on la traitait de “vieille”.</w:t>
      </w:r>
      <w:r>
        <w:t xml:space="preserve"> »</w:t>
      </w:r>
    </w:p>
    <w:p w14:paraId="00000021" w14:textId="77777777" w:rsidR="0028631A" w:rsidRDefault="00AE03C8">
      <w:pPr>
        <w:spacing w:before="240" w:after="240"/>
      </w:pPr>
      <w:r>
        <w:t>Ce malentendu illustre la nécessité de comprendre les différences culturelles ou générationnelles dans la perception de certains mots. Loin d’être un simple détail linguistique, l’usage du terme « doyen » révèle comment un même mot peut avoir des connotations positives dans un contexte et négatives dans un autre.</w:t>
      </w:r>
    </w:p>
    <w:p w14:paraId="00000022" w14:textId="77777777" w:rsidR="0028631A" w:rsidRDefault="00AE03C8">
      <w:r>
        <w:pict w14:anchorId="62371001">
          <v:rect id="_x0000_i1028" style="width:0;height:1.5pt" o:hralign="center" o:hrstd="t" o:hr="t" fillcolor="#a0a0a0" stroked="f"/>
        </w:pict>
      </w:r>
    </w:p>
    <w:p w14:paraId="00000023" w14:textId="77777777" w:rsidR="0028631A" w:rsidRDefault="00AE03C8">
      <w:pPr>
        <w:pStyle w:val="Titre3"/>
        <w:keepNext w:val="0"/>
        <w:keepLines w:val="0"/>
        <w:spacing w:before="280"/>
        <w:rPr>
          <w:b/>
          <w:color w:val="000000"/>
          <w:sz w:val="26"/>
          <w:szCs w:val="26"/>
        </w:rPr>
      </w:pPr>
      <w:bookmarkStart w:id="7" w:name="_p9fiz1odpnxv" w:colFirst="0" w:colLast="0"/>
      <w:bookmarkEnd w:id="7"/>
      <w:r>
        <w:rPr>
          <w:b/>
          <w:color w:val="000000"/>
          <w:sz w:val="26"/>
          <w:szCs w:val="26"/>
        </w:rPr>
        <w:t>4. Politiques RH et transformations de l’entreprise</w:t>
      </w:r>
    </w:p>
    <w:p w14:paraId="00000024" w14:textId="77777777" w:rsidR="0028631A" w:rsidRDefault="00AE03C8">
      <w:pPr>
        <w:spacing w:before="240" w:after="240"/>
      </w:pPr>
      <w:r>
        <w:rPr>
          <w:b/>
        </w:rPr>
        <w:t>Les réorganisations successives</w:t>
      </w:r>
      <w:r>
        <w:rPr>
          <w:b/>
        </w:rPr>
        <w:br/>
      </w:r>
      <w:r>
        <w:t xml:space="preserve">L’interviewé raconte la transition du CNET à France Télécom Recherche &amp; Développement, puis Orange </w:t>
      </w:r>
      <w:proofErr w:type="spellStart"/>
      <w:r>
        <w:t>Labs</w:t>
      </w:r>
      <w:proofErr w:type="spellEnd"/>
      <w:r>
        <w:t>, aujourd’hui Orange Innovation. Ces changements successifs ont affecté les pratiques : budgets réduits, recentrage sur des équipes opérationnelles, politiques de mobilité (souvent contraintes) et incitations à « bouger » géographiquement.</w:t>
      </w:r>
    </w:p>
    <w:p w14:paraId="00000025" w14:textId="77777777" w:rsidR="0028631A" w:rsidRDefault="00AE03C8">
      <w:pPr>
        <w:spacing w:before="240" w:after="240"/>
      </w:pPr>
      <w:r>
        <w:rPr>
          <w:b/>
        </w:rPr>
        <w:t>Les politiques d’inclusion et de diversité</w:t>
      </w:r>
      <w:r>
        <w:rPr>
          <w:b/>
        </w:rPr>
        <w:br/>
      </w:r>
      <w:r>
        <w:t>Orange est décrite comme une entreprise :</w:t>
      </w:r>
    </w:p>
    <w:p w14:paraId="00000026" w14:textId="77777777" w:rsidR="0028631A" w:rsidRDefault="00AE03C8">
      <w:pPr>
        <w:spacing w:before="240" w:after="240"/>
        <w:ind w:left="600" w:right="600"/>
      </w:pPr>
      <w:r>
        <w:t xml:space="preserve">« </w:t>
      </w:r>
      <w:r>
        <w:rPr>
          <w:i/>
        </w:rPr>
        <w:t>…qui fait beaucoup d’efforts… y compris de discrimination positive pour féminiser certaines instances.</w:t>
      </w:r>
      <w:r>
        <w:t xml:space="preserve"> »</w:t>
      </w:r>
    </w:p>
    <w:p w14:paraId="00000027" w14:textId="77777777" w:rsidR="0028631A" w:rsidRDefault="00AE03C8">
      <w:pPr>
        <w:spacing w:before="240" w:after="240"/>
      </w:pPr>
      <w:r>
        <w:t>S’il salue ces efforts, l’interviewé note des périodes où la « vague » de nominations féminines pouvait parfois donner l’impression d’une « discrimination inverse ». Néanmoins, il estime globalement l’entreprise « plutôt citoyenne », notamment en termes d’égalité salariale.</w:t>
      </w:r>
    </w:p>
    <w:p w14:paraId="00000028" w14:textId="77777777" w:rsidR="0028631A" w:rsidRDefault="00AE03C8">
      <w:r>
        <w:pict w14:anchorId="14109888">
          <v:rect id="_x0000_i1029" style="width:0;height:1.5pt" o:hralign="center" o:hrstd="t" o:hr="t" fillcolor="#a0a0a0" stroked="f"/>
        </w:pict>
      </w:r>
    </w:p>
    <w:p w14:paraId="00000029" w14:textId="77777777" w:rsidR="0028631A" w:rsidRDefault="00AE03C8">
      <w:pPr>
        <w:pStyle w:val="Titre3"/>
        <w:keepNext w:val="0"/>
        <w:keepLines w:val="0"/>
        <w:spacing w:before="280"/>
        <w:rPr>
          <w:b/>
          <w:color w:val="000000"/>
          <w:sz w:val="26"/>
          <w:szCs w:val="26"/>
        </w:rPr>
      </w:pPr>
      <w:bookmarkStart w:id="8" w:name="_ud4j1a6bemsv" w:colFirst="0" w:colLast="0"/>
      <w:bookmarkEnd w:id="8"/>
      <w:r>
        <w:rPr>
          <w:b/>
          <w:color w:val="000000"/>
          <w:sz w:val="26"/>
          <w:szCs w:val="26"/>
        </w:rPr>
        <w:t>5. Enjeux de cohésion, de sociabilité et pistes d’amélioration</w:t>
      </w:r>
    </w:p>
    <w:p w14:paraId="0000002A" w14:textId="77777777" w:rsidR="0028631A" w:rsidRDefault="00AE03C8">
      <w:pPr>
        <w:spacing w:before="240" w:after="240"/>
      </w:pPr>
      <w:r>
        <w:rPr>
          <w:b/>
        </w:rPr>
        <w:t>Isolement des jeunes</w:t>
      </w:r>
      <w:r>
        <w:rPr>
          <w:b/>
        </w:rPr>
        <w:br/>
      </w:r>
      <w:r>
        <w:t>Le principal écueil soulevé demeure l’isolement des stagiaires ou apprentis lorsqu’ils arrivent dans des équipes très seniors :</w:t>
      </w:r>
    </w:p>
    <w:p w14:paraId="0000002B" w14:textId="77777777" w:rsidR="0028631A" w:rsidRDefault="00AE03C8">
      <w:pPr>
        <w:spacing w:before="240" w:after="240"/>
        <w:ind w:left="600" w:right="600"/>
      </w:pPr>
      <w:r>
        <w:t xml:space="preserve">« </w:t>
      </w:r>
      <w:r>
        <w:rPr>
          <w:i/>
        </w:rPr>
        <w:t>… les jeunes sont isolés : y’a pas le juste équilibre…</w:t>
      </w:r>
      <w:r>
        <w:t xml:space="preserve"> »</w:t>
      </w:r>
    </w:p>
    <w:p w14:paraId="0000002C" w14:textId="77777777" w:rsidR="0028631A" w:rsidRDefault="00AE03C8">
      <w:pPr>
        <w:spacing w:before="240" w:after="240"/>
      </w:pPr>
      <w:r>
        <w:t>Cet isolement limite les échanges de bonnes pratiques ou la création de liens informels (peu d’événements transverses, par exemple).</w:t>
      </w:r>
    </w:p>
    <w:p w14:paraId="0000002D" w14:textId="77777777" w:rsidR="0028631A" w:rsidRDefault="00AE03C8">
      <w:pPr>
        <w:spacing w:before="240" w:after="240"/>
      </w:pPr>
      <w:r>
        <w:rPr>
          <w:b/>
        </w:rPr>
        <w:lastRenderedPageBreak/>
        <w:t>Des animations de site à renforcer</w:t>
      </w:r>
      <w:r>
        <w:rPr>
          <w:b/>
        </w:rPr>
        <w:br/>
      </w:r>
      <w:r>
        <w:t>Tant l’interviewé que l’enquêteur soulignent l’importance d’organiser des rencontres et activités communes :</w:t>
      </w:r>
    </w:p>
    <w:p w14:paraId="0000002E" w14:textId="77777777" w:rsidR="0028631A" w:rsidRDefault="00AE03C8">
      <w:pPr>
        <w:spacing w:before="240" w:after="240"/>
        <w:ind w:left="600" w:right="600"/>
      </w:pPr>
      <w:r>
        <w:t xml:space="preserve">« </w:t>
      </w:r>
      <w:r>
        <w:rPr>
          <w:i/>
        </w:rPr>
        <w:t>…il faudrait peut-être que la direction du site organise plus d’animations ou de séminaires, pour faire du lien entre toutes les générations…</w:t>
      </w:r>
      <w:r>
        <w:t xml:space="preserve"> »</w:t>
      </w:r>
    </w:p>
    <w:p w14:paraId="0000002F" w14:textId="77777777" w:rsidR="0028631A" w:rsidRDefault="00AE03C8">
      <w:pPr>
        <w:spacing w:before="240" w:after="240"/>
      </w:pPr>
      <w:r>
        <w:t>Ces initiatives pourraient contribuer à maintenir une cohésion malgré la dispersion des équipes.</w:t>
      </w:r>
    </w:p>
    <w:p w14:paraId="00000030" w14:textId="77777777" w:rsidR="0028631A" w:rsidRDefault="00AE03C8">
      <w:r>
        <w:pict w14:anchorId="762E8E41">
          <v:rect id="_x0000_i1030" style="width:0;height:1.5pt" o:hralign="center" o:hrstd="t" o:hr="t" fillcolor="#a0a0a0" stroked="f"/>
        </w:pict>
      </w:r>
    </w:p>
    <w:p w14:paraId="00000031" w14:textId="77777777" w:rsidR="0028631A" w:rsidRDefault="00AE03C8">
      <w:pPr>
        <w:pStyle w:val="Titre3"/>
        <w:keepNext w:val="0"/>
        <w:keepLines w:val="0"/>
        <w:spacing w:before="280"/>
        <w:rPr>
          <w:b/>
          <w:color w:val="000000"/>
          <w:sz w:val="26"/>
          <w:szCs w:val="26"/>
        </w:rPr>
      </w:pPr>
      <w:bookmarkStart w:id="9" w:name="_pxfl49eydexo" w:colFirst="0" w:colLast="0"/>
      <w:bookmarkEnd w:id="9"/>
      <w:r>
        <w:rPr>
          <w:b/>
          <w:color w:val="000000"/>
          <w:sz w:val="26"/>
          <w:szCs w:val="26"/>
        </w:rPr>
        <w:t>Conclusion</w:t>
      </w:r>
    </w:p>
    <w:p w14:paraId="00000032" w14:textId="77777777" w:rsidR="0028631A" w:rsidRDefault="00AE03C8">
      <w:pPr>
        <w:spacing w:before="240" w:after="240"/>
      </w:pPr>
      <w:r>
        <w:t>L’entretien met en lumière la transition vécue par une entreprise historique des télécommunications, dont les pratiques de R&amp;D ont peu à peu cédé la place à l’intégration de solutions externes. Le parcours de l’interviewé illustre à la fois la richesse technique et humaine d’une telle structure, mais aussi les tensions liées à la mobilité et au renouvellement des générations.</w:t>
      </w:r>
    </w:p>
    <w:p w14:paraId="00000033" w14:textId="77777777" w:rsidR="0028631A" w:rsidRDefault="00AE03C8">
      <w:pPr>
        <w:spacing w:before="240" w:after="240"/>
      </w:pPr>
      <w:r>
        <w:t>S’il règne une atmosphère relativement bienveillante, des enjeux réels demeurent : isolement des nouveaux arrivants, difficultés de recrutement et de pérennisation des jeunes talents, malentendus culturels ponctuels. Pour y remédier, l’organisation gagnerait à renforcer ses actions collectives (animations de site, espaces de rencontre, parrainage) et à valoriser la richesse intergénérationnelle, tout en restant attentive à la diversité des cultures et des perceptions.</w:t>
      </w:r>
    </w:p>
    <w:p w14:paraId="00000034" w14:textId="77777777" w:rsidR="0028631A" w:rsidRDefault="00AE03C8">
      <w:pPr>
        <w:spacing w:before="240" w:after="240"/>
      </w:pPr>
      <w:r>
        <w:t>Cette synthèse permet de comprendre comment les dynamiques d’une grande entreprise se vivent au quotidien et de souligner l’importance de la cohésion interpersonnelle dans un milieu en constante mutation.</w:t>
      </w:r>
    </w:p>
    <w:p w14:paraId="00000035" w14:textId="77777777" w:rsidR="0028631A" w:rsidRDefault="0028631A"/>
    <w:sectPr w:rsidR="0028631A">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31A"/>
    <w:rsid w:val="0028631A"/>
    <w:rsid w:val="00923B49"/>
    <w:rsid w:val="009D64D8"/>
    <w:rsid w:val="00AE03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4D976F8A-C9D3-4E31-81D9-EE2B059B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fr"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uiPriority w:val="9"/>
    <w:qFormat/>
    <w:pPr>
      <w:keepNext/>
      <w:keepLines/>
      <w:spacing w:before="400" w:after="120"/>
      <w:outlineLvl w:val="0"/>
    </w:pPr>
    <w:rPr>
      <w:sz w:val="40"/>
      <w:szCs w:val="40"/>
    </w:rPr>
  </w:style>
  <w:style w:type="paragraph" w:styleId="Titre2">
    <w:name w:val="heading 2"/>
    <w:basedOn w:val="Normal"/>
    <w:next w:val="Normal"/>
    <w:uiPriority w:val="9"/>
    <w:unhideWhenUsed/>
    <w:qFormat/>
    <w:pPr>
      <w:keepNext/>
      <w:keepLines/>
      <w:spacing w:before="360" w:after="120"/>
      <w:outlineLvl w:val="1"/>
    </w:pPr>
    <w:rPr>
      <w:sz w:val="32"/>
      <w:szCs w:val="32"/>
    </w:rPr>
  </w:style>
  <w:style w:type="paragraph" w:styleId="Titre3">
    <w:name w:val="heading 3"/>
    <w:basedOn w:val="Normal"/>
    <w:next w:val="Normal"/>
    <w:uiPriority w:val="9"/>
    <w:unhideWhenUsed/>
    <w:qFormat/>
    <w:pPr>
      <w:keepNext/>
      <w:keepLines/>
      <w:spacing w:before="320" w:after="80"/>
      <w:outlineLvl w:val="2"/>
    </w:pPr>
    <w:rPr>
      <w:color w:val="434343"/>
      <w:sz w:val="28"/>
      <w:szCs w:val="28"/>
    </w:rPr>
  </w:style>
  <w:style w:type="paragraph" w:styleId="Titre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itre5">
    <w:name w:val="heading 5"/>
    <w:basedOn w:val="Normal"/>
    <w:next w:val="Normal"/>
    <w:uiPriority w:val="9"/>
    <w:semiHidden/>
    <w:unhideWhenUsed/>
    <w:qFormat/>
    <w:pPr>
      <w:keepNext/>
      <w:keepLines/>
      <w:spacing w:before="240" w:after="80"/>
      <w:outlineLvl w:val="4"/>
    </w:pPr>
    <w:rPr>
      <w:color w:val="666666"/>
    </w:rPr>
  </w:style>
  <w:style w:type="paragraph" w:styleId="Titre6">
    <w:name w:val="heading 6"/>
    <w:basedOn w:val="Normal"/>
    <w:next w:val="Normal"/>
    <w:uiPriority w:val="9"/>
    <w:semiHidden/>
    <w:unhideWhenUsed/>
    <w:qFormat/>
    <w:pPr>
      <w:keepNext/>
      <w:keepLines/>
      <w:spacing w:before="240" w:after="80"/>
      <w:outlineLvl w:val="5"/>
    </w:pPr>
    <w:rPr>
      <w:i/>
      <w:color w:val="66666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uiPriority w:val="10"/>
    <w:qFormat/>
    <w:pPr>
      <w:keepNext/>
      <w:keepLines/>
      <w:spacing w:before="240" w:line="240" w:lineRule="auto"/>
      <w:jc w:val="center"/>
    </w:pPr>
    <w:rPr>
      <w:b/>
      <w:sz w:val="36"/>
      <w:szCs w:val="36"/>
    </w:rPr>
  </w:style>
  <w:style w:type="paragraph" w:styleId="Sous-titr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1156</Words>
  <Characters>6359</Characters>
  <Application>Microsoft Office Word</Application>
  <DocSecurity>0</DocSecurity>
  <Lines>52</Lines>
  <Paragraphs>14</Paragraphs>
  <ScaleCrop>false</ScaleCrop>
  <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Avenel</dc:creator>
  <cp:lastModifiedBy>AVENEL Théophile</cp:lastModifiedBy>
  <cp:revision>2</cp:revision>
  <dcterms:created xsi:type="dcterms:W3CDTF">2024-12-30T14:29:00Z</dcterms:created>
  <dcterms:modified xsi:type="dcterms:W3CDTF">2024-12-30T14:29:00Z</dcterms:modified>
</cp:coreProperties>
</file>